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Vellinge kommunfullmäktige</w:t>
      </w:r>
    </w:p>
    <w:p>
      <w:pPr>
        <w:pStyle w:val="Heading1"/>
      </w:pPr>
      <w:r>
        <w:t xml:space="preserve">Likvärdig skola med fler behöriga lärare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Vellinge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Skolresultaten varierar kraftigt mellan skolor i Vellinge (Skolverket 2024). Andelen behöriga lärare är lägre i områden med socioekonomiska utmaningar.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Vellinge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andelen behöriga lärare ska vara minst 90 procent i alla skolor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extra resurser tilldelas skolor med lägre meritvärden.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likvärdighetsgaranti införs för elever i behov av särskilt 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uppföljning sker via Kolada-rapporter.</w:t>
      </w:r>
    </w:p>
    <w:p>
      <w:pPr>
        <w:spacing w:before="360"/>
      </w:pPr>
    </w:p>
    <w:p>
      <w:r>
        <w:t xml:space="preserve">Vellinge,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Vellinge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2026-07-14T01:48:56.741Z</dcterms:created>
  <dcterms:modified xsi:type="dcterms:W3CDTF">2026-07-14T01:48:56.741Z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